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499FA1">
      <w:pPr>
        <w:snapToGrid w:val="0"/>
        <w:spacing w:line="560" w:lineRule="exact"/>
        <w:jc w:val="center"/>
        <w:rPr>
          <w:rFonts w:ascii="Times New Roman" w:hAnsi="Times New Roman" w:eastAsia="方正小标宋简体" w:cs="方正仿宋简体"/>
          <w:color w:val="000000"/>
          <w:sz w:val="32"/>
          <w:szCs w:val="32"/>
        </w:rPr>
      </w:pPr>
      <w:r>
        <w:rPr>
          <w:rFonts w:hint="eastAsia" w:ascii="Times New Roman" w:hAnsi="Times New Roman" w:eastAsia="方正小标宋简体" w:cs="方正仿宋简体"/>
          <w:color w:val="000000"/>
          <w:sz w:val="32"/>
          <w:szCs w:val="32"/>
        </w:rPr>
        <w:t>2026年北京市电冰箱产品质量监督抽查实施细则</w:t>
      </w:r>
    </w:p>
    <w:p w14:paraId="249784EE">
      <w:pPr>
        <w:spacing w:line="240" w:lineRule="auto"/>
        <w:ind w:firstLine="440" w:firstLineChars="200"/>
        <w:rPr>
          <w:rFonts w:ascii="Times New Roman" w:hAnsi="Times New Roman" w:eastAsia="宋体" w:cs="宋体"/>
          <w:sz w:val="22"/>
          <w:szCs w:val="28"/>
        </w:rPr>
      </w:pPr>
    </w:p>
    <w:p w14:paraId="25D61317">
      <w:pPr>
        <w:spacing w:line="520" w:lineRule="exact"/>
        <w:rPr>
          <w:rFonts w:ascii="Times New Roman" w:hAnsi="Times New Roman" w:eastAsia="黑体" w:cs="黑体"/>
          <w:sz w:val="22"/>
          <w:szCs w:val="28"/>
        </w:rPr>
      </w:pPr>
      <w:r>
        <w:rPr>
          <w:rFonts w:hint="eastAsia" w:ascii="Times New Roman" w:hAnsi="Times New Roman" w:eastAsia="黑体" w:cs="黑体"/>
          <w:sz w:val="22"/>
          <w:szCs w:val="28"/>
        </w:rPr>
        <w:t>1 抽样方法</w:t>
      </w:r>
    </w:p>
    <w:p w14:paraId="3F2DCAC7">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以随机抽样的方式在被抽样生产者、销售者的待销产品中抽取。</w:t>
      </w:r>
    </w:p>
    <w:p w14:paraId="0207FFD2">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随机数一般可使用随机数表等方法产生。</w:t>
      </w:r>
    </w:p>
    <w:p w14:paraId="05E8FEAD">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抽样基数满足抽样数量即可，每批次产品抽取</w:t>
      </w:r>
      <w:r>
        <w:rPr>
          <w:rFonts w:ascii="Times New Roman" w:hAnsi="Times New Roman" w:eastAsia="宋体" w:cs="宋体"/>
          <w:sz w:val="22"/>
          <w:szCs w:val="28"/>
        </w:rPr>
        <w:t>3</w:t>
      </w:r>
      <w:r>
        <w:rPr>
          <w:rFonts w:hint="eastAsia" w:ascii="Times New Roman" w:hAnsi="Times New Roman" w:eastAsia="宋体" w:cs="宋体"/>
          <w:sz w:val="22"/>
          <w:szCs w:val="28"/>
        </w:rPr>
        <w:t>台，</w:t>
      </w:r>
      <w:r>
        <w:rPr>
          <w:rFonts w:ascii="Times New Roman" w:hAnsi="Times New Roman" w:eastAsia="宋体" w:cs="宋体"/>
          <w:sz w:val="22"/>
          <w:szCs w:val="28"/>
        </w:rPr>
        <w:t>2</w:t>
      </w:r>
      <w:r>
        <w:rPr>
          <w:rFonts w:hint="eastAsia" w:ascii="Times New Roman" w:hAnsi="Times New Roman" w:eastAsia="宋体" w:cs="宋体"/>
          <w:sz w:val="22"/>
          <w:szCs w:val="28"/>
        </w:rPr>
        <w:t>台为检验用样品，另</w:t>
      </w:r>
      <w:r>
        <w:rPr>
          <w:rFonts w:ascii="Times New Roman" w:hAnsi="Times New Roman" w:eastAsia="宋体" w:cs="宋体"/>
          <w:sz w:val="22"/>
          <w:szCs w:val="28"/>
        </w:rPr>
        <w:t>1</w:t>
      </w:r>
      <w:r>
        <w:rPr>
          <w:rFonts w:hint="eastAsia" w:ascii="Times New Roman" w:hAnsi="Times New Roman" w:eastAsia="宋体" w:cs="宋体"/>
          <w:sz w:val="22"/>
          <w:szCs w:val="28"/>
        </w:rPr>
        <w:t>台为备用样品。</w:t>
      </w:r>
    </w:p>
    <w:p w14:paraId="6004B44C">
      <w:pPr>
        <w:spacing w:line="240" w:lineRule="auto"/>
        <w:ind w:firstLine="440" w:firstLineChars="200"/>
        <w:rPr>
          <w:rFonts w:hint="eastAsia" w:ascii="Times New Roman" w:hAnsi="Times New Roman" w:eastAsia="宋体" w:cs="宋体"/>
          <w:sz w:val="22"/>
          <w:szCs w:val="28"/>
        </w:rPr>
      </w:pPr>
    </w:p>
    <w:p w14:paraId="0A63D93E">
      <w:pPr>
        <w:spacing w:line="520" w:lineRule="exact"/>
        <w:rPr>
          <w:rFonts w:ascii="Times New Roman" w:hAnsi="Times New Roman" w:eastAsia="宋体" w:cs="宋体"/>
          <w:sz w:val="22"/>
          <w:szCs w:val="28"/>
        </w:rPr>
      </w:pPr>
      <w:r>
        <w:rPr>
          <w:rFonts w:hint="eastAsia" w:ascii="Times New Roman" w:hAnsi="Times New Roman" w:eastAsia="黑体" w:cs="黑体"/>
          <w:sz w:val="22"/>
          <w:szCs w:val="28"/>
        </w:rPr>
        <w:t>2 检验依据</w:t>
      </w:r>
    </w:p>
    <w:p w14:paraId="2C513C22">
      <w:pPr>
        <w:spacing w:line="240" w:lineRule="auto"/>
        <w:rPr>
          <w:rFonts w:hint="eastAsia" w:ascii="Times New Roman" w:hAnsi="Times New Roman" w:eastAsia="宋体" w:cs="宋体"/>
          <w:sz w:val="22"/>
          <w:szCs w:val="28"/>
        </w:rPr>
      </w:pPr>
    </w:p>
    <w:tbl>
      <w:tblPr>
        <w:tblStyle w:val="5"/>
        <w:tblW w:w="87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9"/>
        <w:gridCol w:w="2381"/>
        <w:gridCol w:w="2835"/>
        <w:gridCol w:w="2835"/>
      </w:tblGrid>
      <w:tr w14:paraId="7B101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760A3B51">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序号</w:t>
            </w:r>
          </w:p>
        </w:tc>
        <w:tc>
          <w:tcPr>
            <w:tcW w:w="2381" w:type="dxa"/>
            <w:vAlign w:val="center"/>
          </w:tcPr>
          <w:p w14:paraId="1FEDB311">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检验项目</w:t>
            </w:r>
          </w:p>
        </w:tc>
        <w:tc>
          <w:tcPr>
            <w:tcW w:w="2835" w:type="dxa"/>
            <w:vAlign w:val="center"/>
          </w:tcPr>
          <w:p w14:paraId="640D8816">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检验依据</w:t>
            </w:r>
          </w:p>
        </w:tc>
        <w:tc>
          <w:tcPr>
            <w:tcW w:w="2835" w:type="dxa"/>
            <w:vAlign w:val="center"/>
          </w:tcPr>
          <w:p w14:paraId="07EA4CF7">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检验方法</w:t>
            </w:r>
          </w:p>
        </w:tc>
      </w:tr>
      <w:tr w14:paraId="64EA5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65BE4427">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1</w:t>
            </w:r>
          </w:p>
        </w:tc>
        <w:tc>
          <w:tcPr>
            <w:tcW w:w="2381" w:type="dxa"/>
            <w:vAlign w:val="center"/>
          </w:tcPr>
          <w:p w14:paraId="76A99D11">
            <w:pPr>
              <w:widowControl/>
              <w:jc w:val="center"/>
              <w:rPr>
                <w:rFonts w:hint="default" w:ascii="Times New Roman" w:hAnsi="Times New Roman" w:cs="Times New Roman"/>
                <w:kern w:val="0"/>
                <w:sz w:val="22"/>
                <w:szCs w:val="22"/>
              </w:rPr>
            </w:pPr>
            <w:r>
              <w:rPr>
                <w:rFonts w:hint="default" w:ascii="Times New Roman" w:hAnsi="Times New Roman" w:cs="Times New Roman"/>
                <w:sz w:val="22"/>
                <w:szCs w:val="22"/>
              </w:rPr>
              <w:t>对触及带电部件的防护</w:t>
            </w:r>
          </w:p>
        </w:tc>
        <w:tc>
          <w:tcPr>
            <w:tcW w:w="2835" w:type="dxa"/>
            <w:vMerge w:val="restart"/>
            <w:vAlign w:val="center"/>
          </w:tcPr>
          <w:p w14:paraId="6A0D8EC1">
            <w:pPr>
              <w:jc w:val="center"/>
              <w:rPr>
                <w:rFonts w:hint="default" w:ascii="Times New Roman" w:hAnsi="Times New Roman" w:cs="Times New Roman"/>
                <w:sz w:val="22"/>
                <w:szCs w:val="22"/>
              </w:rPr>
            </w:pPr>
            <w:r>
              <w:rPr>
                <w:rFonts w:hint="default" w:ascii="Times New Roman" w:hAnsi="Times New Roman" w:cs="Times New Roman"/>
                <w:sz w:val="22"/>
                <w:szCs w:val="22"/>
              </w:rPr>
              <w:t>GB 4706.1—2005</w:t>
            </w:r>
          </w:p>
          <w:p w14:paraId="2F6A613F">
            <w:pPr>
              <w:jc w:val="center"/>
              <w:rPr>
                <w:rFonts w:hint="default" w:ascii="Times New Roman" w:hAnsi="Times New Roman" w:cs="Times New Roman"/>
                <w:sz w:val="22"/>
                <w:szCs w:val="22"/>
              </w:rPr>
            </w:pPr>
            <w:r>
              <w:rPr>
                <w:rFonts w:hint="default" w:ascii="Times New Roman" w:hAnsi="Times New Roman" w:cs="Times New Roman"/>
                <w:sz w:val="22"/>
                <w:szCs w:val="22"/>
              </w:rPr>
              <w:t>GB 4706.13—2014</w:t>
            </w:r>
          </w:p>
          <w:p w14:paraId="000B9043">
            <w:pPr>
              <w:jc w:val="center"/>
              <w:rPr>
                <w:rFonts w:hint="default" w:ascii="Times New Roman" w:hAnsi="Times New Roman" w:cs="Times New Roman"/>
                <w:sz w:val="22"/>
                <w:szCs w:val="22"/>
              </w:rPr>
            </w:pPr>
            <w:r>
              <w:rPr>
                <w:rFonts w:hint="default" w:ascii="Times New Roman" w:hAnsi="Times New Roman" w:cs="Times New Roman"/>
                <w:sz w:val="22"/>
                <w:szCs w:val="22"/>
              </w:rPr>
              <w:t>GB/T 4706.1—2024</w:t>
            </w:r>
          </w:p>
          <w:p w14:paraId="43EE6DB1">
            <w:pPr>
              <w:jc w:val="center"/>
              <w:rPr>
                <w:rFonts w:hint="default" w:ascii="Times New Roman" w:hAnsi="Times New Roman" w:cs="Times New Roman"/>
                <w:sz w:val="22"/>
                <w:szCs w:val="22"/>
              </w:rPr>
            </w:pPr>
            <w:r>
              <w:rPr>
                <w:rFonts w:hint="default" w:ascii="Times New Roman" w:hAnsi="Times New Roman" w:cs="Times New Roman"/>
                <w:sz w:val="22"/>
                <w:szCs w:val="22"/>
              </w:rPr>
              <w:t>GB/T 4706.13—2024</w:t>
            </w:r>
          </w:p>
        </w:tc>
        <w:tc>
          <w:tcPr>
            <w:tcW w:w="2835" w:type="dxa"/>
            <w:vMerge w:val="restart"/>
            <w:vAlign w:val="center"/>
          </w:tcPr>
          <w:p w14:paraId="44D48E77">
            <w:pPr>
              <w:jc w:val="center"/>
              <w:rPr>
                <w:rFonts w:hint="default" w:ascii="Times New Roman" w:hAnsi="Times New Roman" w:cs="Times New Roman"/>
                <w:sz w:val="22"/>
                <w:szCs w:val="22"/>
              </w:rPr>
            </w:pPr>
            <w:r>
              <w:rPr>
                <w:rFonts w:hint="default" w:ascii="Times New Roman" w:hAnsi="Times New Roman" w:cs="Times New Roman"/>
                <w:sz w:val="22"/>
                <w:szCs w:val="22"/>
              </w:rPr>
              <w:t>GB 4706.1—2005</w:t>
            </w:r>
          </w:p>
          <w:p w14:paraId="03045832">
            <w:pPr>
              <w:jc w:val="center"/>
              <w:rPr>
                <w:rFonts w:hint="default" w:ascii="Times New Roman" w:hAnsi="Times New Roman" w:cs="Times New Roman"/>
                <w:sz w:val="22"/>
                <w:szCs w:val="22"/>
              </w:rPr>
            </w:pPr>
            <w:r>
              <w:rPr>
                <w:rFonts w:hint="default" w:ascii="Times New Roman" w:hAnsi="Times New Roman" w:cs="Times New Roman"/>
                <w:sz w:val="22"/>
                <w:szCs w:val="22"/>
              </w:rPr>
              <w:t>GB 4706.13—2014</w:t>
            </w:r>
          </w:p>
          <w:p w14:paraId="2151BCB7">
            <w:pPr>
              <w:jc w:val="center"/>
              <w:rPr>
                <w:rFonts w:hint="default" w:ascii="Times New Roman" w:hAnsi="Times New Roman" w:cs="Times New Roman"/>
                <w:sz w:val="22"/>
                <w:szCs w:val="22"/>
              </w:rPr>
            </w:pPr>
            <w:r>
              <w:rPr>
                <w:rFonts w:hint="default" w:ascii="Times New Roman" w:hAnsi="Times New Roman" w:cs="Times New Roman"/>
                <w:sz w:val="22"/>
                <w:szCs w:val="22"/>
              </w:rPr>
              <w:t>GB/T 4706.1—2024</w:t>
            </w:r>
          </w:p>
          <w:p w14:paraId="54335C08">
            <w:pPr>
              <w:jc w:val="center"/>
              <w:rPr>
                <w:rFonts w:hint="default" w:ascii="Times New Roman" w:hAnsi="Times New Roman" w:cs="Times New Roman"/>
                <w:sz w:val="22"/>
                <w:szCs w:val="22"/>
              </w:rPr>
            </w:pPr>
            <w:r>
              <w:rPr>
                <w:rFonts w:hint="default" w:ascii="Times New Roman" w:hAnsi="Times New Roman" w:cs="Times New Roman"/>
                <w:sz w:val="22"/>
                <w:szCs w:val="22"/>
              </w:rPr>
              <w:t>GB/T 4706.13—2024</w:t>
            </w:r>
          </w:p>
        </w:tc>
      </w:tr>
      <w:tr w14:paraId="17DC4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62BEE7F9">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2</w:t>
            </w:r>
          </w:p>
        </w:tc>
        <w:tc>
          <w:tcPr>
            <w:tcW w:w="2381" w:type="dxa"/>
            <w:vAlign w:val="center"/>
          </w:tcPr>
          <w:p w14:paraId="66E5FA7F">
            <w:pPr>
              <w:jc w:val="center"/>
              <w:rPr>
                <w:rFonts w:hint="default" w:ascii="Times New Roman" w:hAnsi="Times New Roman" w:cs="Times New Roman"/>
                <w:sz w:val="22"/>
                <w:szCs w:val="22"/>
              </w:rPr>
            </w:pPr>
            <w:r>
              <w:rPr>
                <w:rFonts w:hint="default" w:ascii="Times New Roman" w:hAnsi="Times New Roman" w:cs="Times New Roman"/>
                <w:sz w:val="22"/>
                <w:szCs w:val="22"/>
              </w:rPr>
              <w:t>输入功率和电流</w:t>
            </w:r>
          </w:p>
        </w:tc>
        <w:tc>
          <w:tcPr>
            <w:tcW w:w="2835" w:type="dxa"/>
            <w:vMerge w:val="continue"/>
            <w:shd w:val="clear" w:color="auto" w:fill="auto"/>
            <w:vAlign w:val="center"/>
          </w:tcPr>
          <w:p w14:paraId="5BE4EB97">
            <w:pPr>
              <w:jc w:val="center"/>
              <w:rPr>
                <w:rFonts w:hint="default" w:ascii="Times New Roman" w:hAnsi="Times New Roman" w:cs="Times New Roman"/>
                <w:sz w:val="22"/>
                <w:szCs w:val="22"/>
              </w:rPr>
            </w:pPr>
          </w:p>
        </w:tc>
        <w:tc>
          <w:tcPr>
            <w:tcW w:w="2835" w:type="dxa"/>
            <w:vMerge w:val="continue"/>
            <w:shd w:val="clear" w:color="auto" w:fill="auto"/>
            <w:vAlign w:val="center"/>
          </w:tcPr>
          <w:p w14:paraId="1EFC85C2">
            <w:pPr>
              <w:jc w:val="center"/>
              <w:rPr>
                <w:rFonts w:hint="default" w:ascii="Times New Roman" w:hAnsi="Times New Roman" w:cs="Times New Roman"/>
                <w:sz w:val="22"/>
                <w:szCs w:val="22"/>
              </w:rPr>
            </w:pPr>
          </w:p>
        </w:tc>
      </w:tr>
      <w:tr w14:paraId="0A20A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1677C3E7">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3</w:t>
            </w:r>
          </w:p>
        </w:tc>
        <w:tc>
          <w:tcPr>
            <w:tcW w:w="2381" w:type="dxa"/>
            <w:vAlign w:val="center"/>
          </w:tcPr>
          <w:p w14:paraId="65F1C961">
            <w:pPr>
              <w:jc w:val="center"/>
              <w:rPr>
                <w:rFonts w:hint="default" w:ascii="Times New Roman" w:hAnsi="Times New Roman" w:cs="Times New Roman"/>
                <w:sz w:val="22"/>
                <w:szCs w:val="22"/>
              </w:rPr>
            </w:pPr>
            <w:r>
              <w:rPr>
                <w:rFonts w:hint="default" w:ascii="Times New Roman" w:hAnsi="Times New Roman" w:cs="Times New Roman"/>
                <w:sz w:val="22"/>
                <w:szCs w:val="22"/>
              </w:rPr>
              <w:t>工作温度下的泄漏电流和电气强度</w:t>
            </w:r>
          </w:p>
        </w:tc>
        <w:tc>
          <w:tcPr>
            <w:tcW w:w="2835" w:type="dxa"/>
            <w:vMerge w:val="continue"/>
            <w:vAlign w:val="center"/>
          </w:tcPr>
          <w:p w14:paraId="731AD4E3">
            <w:pPr>
              <w:jc w:val="center"/>
              <w:rPr>
                <w:rFonts w:hint="default" w:ascii="Times New Roman" w:hAnsi="Times New Roman" w:cs="Times New Roman"/>
                <w:sz w:val="22"/>
                <w:szCs w:val="22"/>
              </w:rPr>
            </w:pPr>
          </w:p>
        </w:tc>
        <w:tc>
          <w:tcPr>
            <w:tcW w:w="2835" w:type="dxa"/>
            <w:vMerge w:val="continue"/>
            <w:vAlign w:val="center"/>
          </w:tcPr>
          <w:p w14:paraId="3C6A6FA6">
            <w:pPr>
              <w:jc w:val="center"/>
              <w:rPr>
                <w:rFonts w:hint="default" w:ascii="Times New Roman" w:hAnsi="Times New Roman" w:cs="Times New Roman"/>
                <w:sz w:val="22"/>
                <w:szCs w:val="22"/>
              </w:rPr>
            </w:pPr>
          </w:p>
        </w:tc>
      </w:tr>
      <w:tr w14:paraId="495A2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5FCEEC05">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4</w:t>
            </w:r>
          </w:p>
        </w:tc>
        <w:tc>
          <w:tcPr>
            <w:tcW w:w="2381" w:type="dxa"/>
            <w:vAlign w:val="center"/>
          </w:tcPr>
          <w:p w14:paraId="1A6EF3E4">
            <w:pPr>
              <w:jc w:val="center"/>
              <w:rPr>
                <w:rFonts w:hint="default" w:ascii="Times New Roman" w:hAnsi="Times New Roman" w:cs="Times New Roman"/>
                <w:sz w:val="22"/>
                <w:szCs w:val="22"/>
              </w:rPr>
            </w:pPr>
            <w:r>
              <w:rPr>
                <w:rFonts w:hint="default" w:ascii="Times New Roman" w:hAnsi="Times New Roman" w:cs="Times New Roman"/>
                <w:sz w:val="22"/>
                <w:szCs w:val="22"/>
              </w:rPr>
              <w:t>稳定性和机械危险</w:t>
            </w:r>
          </w:p>
        </w:tc>
        <w:tc>
          <w:tcPr>
            <w:tcW w:w="2835" w:type="dxa"/>
            <w:vMerge w:val="continue"/>
            <w:vAlign w:val="center"/>
          </w:tcPr>
          <w:p w14:paraId="6F4295EB">
            <w:pPr>
              <w:jc w:val="center"/>
              <w:rPr>
                <w:rFonts w:hint="default" w:ascii="Times New Roman" w:hAnsi="Times New Roman" w:cs="Times New Roman"/>
                <w:sz w:val="22"/>
                <w:szCs w:val="22"/>
              </w:rPr>
            </w:pPr>
          </w:p>
        </w:tc>
        <w:tc>
          <w:tcPr>
            <w:tcW w:w="2835" w:type="dxa"/>
            <w:vMerge w:val="continue"/>
            <w:vAlign w:val="center"/>
          </w:tcPr>
          <w:p w14:paraId="694947BD">
            <w:pPr>
              <w:jc w:val="center"/>
              <w:rPr>
                <w:rFonts w:hint="default" w:ascii="Times New Roman" w:hAnsi="Times New Roman" w:cs="Times New Roman"/>
                <w:sz w:val="22"/>
                <w:szCs w:val="22"/>
              </w:rPr>
            </w:pPr>
          </w:p>
        </w:tc>
      </w:tr>
      <w:tr w14:paraId="09BB1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0DE73A46">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5</w:t>
            </w:r>
          </w:p>
        </w:tc>
        <w:tc>
          <w:tcPr>
            <w:tcW w:w="2381" w:type="dxa"/>
            <w:vAlign w:val="center"/>
          </w:tcPr>
          <w:p w14:paraId="5EC2B484">
            <w:pPr>
              <w:jc w:val="center"/>
              <w:rPr>
                <w:rFonts w:hint="default" w:ascii="Times New Roman" w:hAnsi="Times New Roman" w:cs="Times New Roman"/>
                <w:sz w:val="22"/>
                <w:szCs w:val="22"/>
              </w:rPr>
            </w:pPr>
            <w:r>
              <w:rPr>
                <w:rFonts w:hint="default" w:ascii="Times New Roman" w:hAnsi="Times New Roman" w:cs="Times New Roman"/>
                <w:sz w:val="22"/>
                <w:szCs w:val="22"/>
              </w:rPr>
              <w:t>机械强度</w:t>
            </w:r>
          </w:p>
        </w:tc>
        <w:tc>
          <w:tcPr>
            <w:tcW w:w="2835" w:type="dxa"/>
            <w:vMerge w:val="continue"/>
            <w:vAlign w:val="center"/>
          </w:tcPr>
          <w:p w14:paraId="5C2034F3">
            <w:pPr>
              <w:jc w:val="center"/>
              <w:rPr>
                <w:rFonts w:hint="default" w:ascii="Times New Roman" w:hAnsi="Times New Roman" w:cs="Times New Roman"/>
                <w:sz w:val="22"/>
                <w:szCs w:val="22"/>
              </w:rPr>
            </w:pPr>
          </w:p>
        </w:tc>
        <w:tc>
          <w:tcPr>
            <w:tcW w:w="2835" w:type="dxa"/>
            <w:vMerge w:val="continue"/>
            <w:vAlign w:val="center"/>
          </w:tcPr>
          <w:p w14:paraId="42EB8C37">
            <w:pPr>
              <w:jc w:val="center"/>
              <w:rPr>
                <w:rFonts w:hint="default" w:ascii="Times New Roman" w:hAnsi="Times New Roman" w:cs="Times New Roman"/>
                <w:sz w:val="22"/>
                <w:szCs w:val="22"/>
              </w:rPr>
            </w:pPr>
          </w:p>
        </w:tc>
      </w:tr>
      <w:tr w14:paraId="4453C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5FF2E879">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6</w:t>
            </w:r>
          </w:p>
        </w:tc>
        <w:tc>
          <w:tcPr>
            <w:tcW w:w="2381" w:type="dxa"/>
            <w:vAlign w:val="center"/>
          </w:tcPr>
          <w:p w14:paraId="5B0BE404">
            <w:pPr>
              <w:jc w:val="center"/>
              <w:rPr>
                <w:rFonts w:hint="default" w:ascii="Times New Roman" w:hAnsi="Times New Roman" w:cs="Times New Roman"/>
                <w:sz w:val="22"/>
                <w:szCs w:val="22"/>
              </w:rPr>
            </w:pPr>
            <w:r>
              <w:rPr>
                <w:rFonts w:hint="default" w:ascii="Times New Roman" w:hAnsi="Times New Roman" w:cs="Times New Roman"/>
                <w:sz w:val="22"/>
                <w:szCs w:val="22"/>
              </w:rPr>
              <w:t>电源连接和外部软线</w:t>
            </w:r>
          </w:p>
        </w:tc>
        <w:tc>
          <w:tcPr>
            <w:tcW w:w="2835" w:type="dxa"/>
            <w:vMerge w:val="continue"/>
            <w:vAlign w:val="center"/>
          </w:tcPr>
          <w:p w14:paraId="4E796567">
            <w:pPr>
              <w:jc w:val="center"/>
              <w:rPr>
                <w:rFonts w:hint="default" w:ascii="Times New Roman" w:hAnsi="Times New Roman" w:cs="Times New Roman"/>
                <w:sz w:val="22"/>
                <w:szCs w:val="22"/>
              </w:rPr>
            </w:pPr>
          </w:p>
        </w:tc>
        <w:tc>
          <w:tcPr>
            <w:tcW w:w="2835" w:type="dxa"/>
            <w:vMerge w:val="continue"/>
            <w:vAlign w:val="center"/>
          </w:tcPr>
          <w:p w14:paraId="26B01C15">
            <w:pPr>
              <w:jc w:val="center"/>
              <w:rPr>
                <w:rFonts w:hint="default" w:ascii="Times New Roman" w:hAnsi="Times New Roman" w:cs="Times New Roman"/>
                <w:sz w:val="22"/>
                <w:szCs w:val="22"/>
              </w:rPr>
            </w:pPr>
          </w:p>
        </w:tc>
      </w:tr>
      <w:tr w14:paraId="26A55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2A578118">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7</w:t>
            </w:r>
          </w:p>
        </w:tc>
        <w:tc>
          <w:tcPr>
            <w:tcW w:w="2381" w:type="dxa"/>
            <w:vAlign w:val="center"/>
          </w:tcPr>
          <w:p w14:paraId="5D2F386D">
            <w:pPr>
              <w:jc w:val="center"/>
              <w:rPr>
                <w:rFonts w:hint="default" w:ascii="Times New Roman" w:hAnsi="Times New Roman" w:cs="Times New Roman"/>
                <w:sz w:val="22"/>
                <w:szCs w:val="22"/>
              </w:rPr>
            </w:pPr>
            <w:r>
              <w:rPr>
                <w:rFonts w:hint="default" w:ascii="Times New Roman" w:hAnsi="Times New Roman" w:cs="Times New Roman"/>
                <w:sz w:val="22"/>
                <w:szCs w:val="22"/>
              </w:rPr>
              <w:t>接地措施</w:t>
            </w:r>
          </w:p>
        </w:tc>
        <w:tc>
          <w:tcPr>
            <w:tcW w:w="2835" w:type="dxa"/>
            <w:vMerge w:val="continue"/>
            <w:vAlign w:val="center"/>
          </w:tcPr>
          <w:p w14:paraId="2B99794B">
            <w:pPr>
              <w:jc w:val="center"/>
              <w:rPr>
                <w:rFonts w:hint="default" w:ascii="Times New Roman" w:hAnsi="Times New Roman" w:cs="Times New Roman"/>
                <w:sz w:val="22"/>
                <w:szCs w:val="22"/>
              </w:rPr>
            </w:pPr>
          </w:p>
        </w:tc>
        <w:tc>
          <w:tcPr>
            <w:tcW w:w="2835" w:type="dxa"/>
            <w:vMerge w:val="continue"/>
            <w:vAlign w:val="center"/>
          </w:tcPr>
          <w:p w14:paraId="68EBC7B8">
            <w:pPr>
              <w:jc w:val="center"/>
              <w:rPr>
                <w:rFonts w:hint="default" w:ascii="Times New Roman" w:hAnsi="Times New Roman" w:cs="Times New Roman"/>
                <w:sz w:val="22"/>
                <w:szCs w:val="22"/>
              </w:rPr>
            </w:pPr>
          </w:p>
        </w:tc>
      </w:tr>
      <w:tr w14:paraId="3068C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6CB48655">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8</w:t>
            </w:r>
          </w:p>
        </w:tc>
        <w:tc>
          <w:tcPr>
            <w:tcW w:w="2381" w:type="dxa"/>
            <w:vAlign w:val="center"/>
          </w:tcPr>
          <w:p w14:paraId="7F228DBC">
            <w:pPr>
              <w:jc w:val="center"/>
              <w:rPr>
                <w:rFonts w:hint="default" w:ascii="Times New Roman" w:hAnsi="Times New Roman" w:cs="Times New Roman"/>
                <w:sz w:val="22"/>
                <w:szCs w:val="22"/>
              </w:rPr>
            </w:pPr>
            <w:r>
              <w:rPr>
                <w:rFonts w:hint="default" w:ascii="Times New Roman" w:hAnsi="Times New Roman" w:cs="Times New Roman"/>
                <w:sz w:val="22"/>
                <w:szCs w:val="22"/>
              </w:rPr>
              <w:t>噪声</w:t>
            </w:r>
          </w:p>
        </w:tc>
        <w:tc>
          <w:tcPr>
            <w:tcW w:w="2835" w:type="dxa"/>
            <w:vAlign w:val="center"/>
          </w:tcPr>
          <w:p w14:paraId="1C45925D">
            <w:pPr>
              <w:jc w:val="center"/>
              <w:rPr>
                <w:rFonts w:hint="default" w:ascii="Times New Roman" w:hAnsi="Times New Roman" w:cs="Times New Roman"/>
                <w:sz w:val="22"/>
                <w:szCs w:val="22"/>
              </w:rPr>
            </w:pPr>
            <w:r>
              <w:rPr>
                <w:rFonts w:hint="default" w:ascii="Times New Roman" w:hAnsi="Times New Roman" w:cs="Times New Roman"/>
                <w:sz w:val="22"/>
                <w:szCs w:val="22"/>
              </w:rPr>
              <w:t>GB 19606—2004</w:t>
            </w:r>
          </w:p>
          <w:p w14:paraId="66030468">
            <w:pPr>
              <w:jc w:val="center"/>
              <w:rPr>
                <w:rFonts w:hint="default" w:ascii="Times New Roman" w:hAnsi="Times New Roman" w:cs="Times New Roman"/>
                <w:sz w:val="22"/>
                <w:szCs w:val="22"/>
              </w:rPr>
            </w:pPr>
            <w:r>
              <w:rPr>
                <w:rFonts w:hint="default" w:ascii="Times New Roman" w:hAnsi="Times New Roman" w:cs="Times New Roman"/>
                <w:sz w:val="22"/>
                <w:szCs w:val="22"/>
              </w:rPr>
              <w:t>GB/T 19606—2024</w:t>
            </w:r>
          </w:p>
        </w:tc>
        <w:tc>
          <w:tcPr>
            <w:tcW w:w="2835" w:type="dxa"/>
            <w:vAlign w:val="center"/>
          </w:tcPr>
          <w:p w14:paraId="3ACB31FD">
            <w:pPr>
              <w:jc w:val="center"/>
              <w:rPr>
                <w:rFonts w:hint="default" w:ascii="Times New Roman" w:hAnsi="Times New Roman" w:cs="Times New Roman"/>
                <w:sz w:val="22"/>
                <w:szCs w:val="22"/>
              </w:rPr>
            </w:pPr>
            <w:r>
              <w:rPr>
                <w:rFonts w:hint="default" w:ascii="Times New Roman" w:hAnsi="Times New Roman" w:cs="Times New Roman"/>
                <w:sz w:val="22"/>
                <w:szCs w:val="22"/>
              </w:rPr>
              <w:t>GB 19606—2004</w:t>
            </w:r>
          </w:p>
          <w:p w14:paraId="30F10B16">
            <w:pPr>
              <w:jc w:val="center"/>
              <w:rPr>
                <w:rFonts w:hint="default" w:ascii="Times New Roman" w:hAnsi="Times New Roman" w:cs="Times New Roman"/>
                <w:sz w:val="22"/>
                <w:szCs w:val="22"/>
              </w:rPr>
            </w:pPr>
            <w:r>
              <w:rPr>
                <w:rFonts w:hint="default" w:ascii="Times New Roman" w:hAnsi="Times New Roman" w:cs="Times New Roman"/>
                <w:sz w:val="22"/>
                <w:szCs w:val="22"/>
              </w:rPr>
              <w:t>GB/T 19606—2024</w:t>
            </w:r>
          </w:p>
        </w:tc>
      </w:tr>
      <w:tr w14:paraId="4100C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386ACDCB">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9</w:t>
            </w:r>
          </w:p>
        </w:tc>
        <w:tc>
          <w:tcPr>
            <w:tcW w:w="2381" w:type="dxa"/>
            <w:vAlign w:val="center"/>
          </w:tcPr>
          <w:p w14:paraId="369F36FE">
            <w:pPr>
              <w:jc w:val="center"/>
              <w:rPr>
                <w:rFonts w:hint="default" w:ascii="Times New Roman" w:hAnsi="Times New Roman" w:cs="Times New Roman"/>
                <w:sz w:val="22"/>
                <w:szCs w:val="22"/>
              </w:rPr>
            </w:pPr>
            <w:r>
              <w:rPr>
                <w:rFonts w:hint="default" w:ascii="Times New Roman" w:hAnsi="Times New Roman" w:cs="Times New Roman"/>
                <w:sz w:val="22"/>
                <w:szCs w:val="22"/>
              </w:rPr>
              <w:t>总容积</w:t>
            </w:r>
          </w:p>
        </w:tc>
        <w:tc>
          <w:tcPr>
            <w:tcW w:w="2835" w:type="dxa"/>
            <w:vMerge w:val="restart"/>
            <w:vAlign w:val="center"/>
          </w:tcPr>
          <w:p w14:paraId="44D1BDC7">
            <w:pPr>
              <w:jc w:val="center"/>
              <w:rPr>
                <w:rFonts w:hint="default" w:ascii="Times New Roman" w:hAnsi="Times New Roman" w:cs="Times New Roman"/>
                <w:sz w:val="22"/>
                <w:szCs w:val="22"/>
              </w:rPr>
            </w:pPr>
            <w:r>
              <w:rPr>
                <w:rFonts w:hint="default" w:ascii="Times New Roman" w:hAnsi="Times New Roman" w:cs="Times New Roman"/>
                <w:sz w:val="22"/>
                <w:szCs w:val="22"/>
              </w:rPr>
              <w:t>GB 12021.2—2015</w:t>
            </w:r>
          </w:p>
          <w:p w14:paraId="2213AC60">
            <w:pPr>
              <w:jc w:val="center"/>
              <w:rPr>
                <w:rFonts w:hint="default" w:ascii="Times New Roman" w:hAnsi="Times New Roman" w:cs="Times New Roman"/>
                <w:sz w:val="22"/>
                <w:szCs w:val="22"/>
              </w:rPr>
            </w:pPr>
            <w:r>
              <w:rPr>
                <w:rFonts w:hint="default" w:ascii="Times New Roman" w:hAnsi="Times New Roman" w:cs="Times New Roman"/>
                <w:sz w:val="22"/>
                <w:szCs w:val="22"/>
              </w:rPr>
              <w:t>GB 12021.2—2025</w:t>
            </w:r>
          </w:p>
        </w:tc>
        <w:tc>
          <w:tcPr>
            <w:tcW w:w="2835" w:type="dxa"/>
            <w:vMerge w:val="restart"/>
            <w:vAlign w:val="center"/>
          </w:tcPr>
          <w:p w14:paraId="3A73FAA4">
            <w:pPr>
              <w:jc w:val="center"/>
              <w:rPr>
                <w:rFonts w:hint="default" w:ascii="Times New Roman" w:hAnsi="Times New Roman" w:cs="Times New Roman"/>
                <w:sz w:val="22"/>
                <w:szCs w:val="22"/>
              </w:rPr>
            </w:pPr>
            <w:r>
              <w:rPr>
                <w:rFonts w:hint="default" w:ascii="Times New Roman" w:hAnsi="Times New Roman" w:cs="Times New Roman"/>
                <w:sz w:val="22"/>
                <w:szCs w:val="22"/>
              </w:rPr>
              <w:t>GB 12021.2—2015</w:t>
            </w:r>
          </w:p>
          <w:p w14:paraId="39E42873">
            <w:pPr>
              <w:jc w:val="center"/>
              <w:rPr>
                <w:rFonts w:hint="default" w:ascii="Times New Roman" w:hAnsi="Times New Roman" w:cs="Times New Roman"/>
                <w:sz w:val="22"/>
                <w:szCs w:val="22"/>
              </w:rPr>
            </w:pPr>
            <w:r>
              <w:rPr>
                <w:rFonts w:hint="default" w:ascii="Times New Roman" w:hAnsi="Times New Roman" w:cs="Times New Roman"/>
                <w:sz w:val="22"/>
                <w:szCs w:val="22"/>
              </w:rPr>
              <w:t>GB 12021.2—2025</w:t>
            </w:r>
          </w:p>
        </w:tc>
      </w:tr>
      <w:tr w14:paraId="40A1B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0DA131AF">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10</w:t>
            </w:r>
          </w:p>
        </w:tc>
        <w:tc>
          <w:tcPr>
            <w:tcW w:w="2381" w:type="dxa"/>
            <w:vAlign w:val="center"/>
          </w:tcPr>
          <w:p w14:paraId="1F37DC2E">
            <w:pPr>
              <w:jc w:val="center"/>
              <w:rPr>
                <w:rFonts w:hint="default" w:ascii="Times New Roman" w:hAnsi="Times New Roman" w:cs="Times New Roman"/>
                <w:sz w:val="22"/>
                <w:szCs w:val="22"/>
              </w:rPr>
            </w:pPr>
            <w:r>
              <w:rPr>
                <w:rFonts w:hint="default" w:ascii="Times New Roman" w:hAnsi="Times New Roman" w:cs="Times New Roman"/>
                <w:sz w:val="22"/>
                <w:szCs w:val="22"/>
              </w:rPr>
              <w:t>耗电量</w:t>
            </w:r>
          </w:p>
        </w:tc>
        <w:tc>
          <w:tcPr>
            <w:tcW w:w="2835" w:type="dxa"/>
            <w:vMerge w:val="continue"/>
            <w:vAlign w:val="center"/>
          </w:tcPr>
          <w:p w14:paraId="6E409B89">
            <w:pPr>
              <w:jc w:val="center"/>
              <w:rPr>
                <w:rFonts w:hint="default" w:ascii="Times New Roman" w:hAnsi="Times New Roman" w:eastAsia="宋体" w:cs="Times New Roman"/>
                <w:sz w:val="22"/>
                <w:szCs w:val="28"/>
              </w:rPr>
            </w:pPr>
          </w:p>
        </w:tc>
        <w:tc>
          <w:tcPr>
            <w:tcW w:w="2835" w:type="dxa"/>
            <w:vMerge w:val="continue"/>
            <w:vAlign w:val="center"/>
          </w:tcPr>
          <w:p w14:paraId="1F7E60C4">
            <w:pPr>
              <w:jc w:val="center"/>
              <w:rPr>
                <w:rFonts w:hint="default" w:ascii="Times New Roman" w:hAnsi="Times New Roman" w:eastAsia="宋体" w:cs="Times New Roman"/>
                <w:sz w:val="22"/>
                <w:szCs w:val="28"/>
              </w:rPr>
            </w:pPr>
          </w:p>
        </w:tc>
      </w:tr>
      <w:tr w14:paraId="6C457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47F3DDB5">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11</w:t>
            </w:r>
          </w:p>
        </w:tc>
        <w:tc>
          <w:tcPr>
            <w:tcW w:w="2381" w:type="dxa"/>
            <w:vAlign w:val="center"/>
          </w:tcPr>
          <w:p w14:paraId="4CF6B034">
            <w:pPr>
              <w:jc w:val="center"/>
              <w:rPr>
                <w:rFonts w:hint="default" w:ascii="Times New Roman" w:hAnsi="Times New Roman" w:cs="Times New Roman"/>
                <w:sz w:val="22"/>
                <w:szCs w:val="22"/>
              </w:rPr>
            </w:pPr>
            <w:r>
              <w:rPr>
                <w:rFonts w:hint="default" w:ascii="Times New Roman" w:hAnsi="Times New Roman" w:cs="Times New Roman"/>
                <w:sz w:val="22"/>
                <w:szCs w:val="22"/>
              </w:rPr>
              <w:t>能效等级</w:t>
            </w:r>
          </w:p>
        </w:tc>
        <w:tc>
          <w:tcPr>
            <w:tcW w:w="2835" w:type="dxa"/>
            <w:vMerge w:val="continue"/>
            <w:vAlign w:val="center"/>
          </w:tcPr>
          <w:p w14:paraId="011F6F38">
            <w:pPr>
              <w:jc w:val="center"/>
              <w:rPr>
                <w:rFonts w:hint="default" w:ascii="Times New Roman" w:hAnsi="Times New Roman" w:eastAsia="宋体" w:cs="Times New Roman"/>
                <w:sz w:val="22"/>
                <w:szCs w:val="28"/>
              </w:rPr>
            </w:pPr>
          </w:p>
        </w:tc>
        <w:tc>
          <w:tcPr>
            <w:tcW w:w="2835" w:type="dxa"/>
            <w:vMerge w:val="continue"/>
            <w:vAlign w:val="center"/>
          </w:tcPr>
          <w:p w14:paraId="0CB12061">
            <w:pPr>
              <w:jc w:val="center"/>
              <w:rPr>
                <w:rFonts w:hint="default" w:ascii="Times New Roman" w:hAnsi="Times New Roman" w:eastAsia="宋体" w:cs="Times New Roman"/>
                <w:sz w:val="22"/>
                <w:szCs w:val="28"/>
              </w:rPr>
            </w:pPr>
          </w:p>
        </w:tc>
      </w:tr>
      <w:tr w14:paraId="30800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3CD693B8">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12</w:t>
            </w:r>
          </w:p>
        </w:tc>
        <w:tc>
          <w:tcPr>
            <w:tcW w:w="2381" w:type="dxa"/>
            <w:vAlign w:val="center"/>
          </w:tcPr>
          <w:p w14:paraId="3CF90363">
            <w:pPr>
              <w:snapToGrid w:val="0"/>
              <w:spacing w:line="30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端子骚扰电压（连续骚扰）</w:t>
            </w:r>
          </w:p>
          <w:p w14:paraId="1227FE21">
            <w:pPr>
              <w:snapToGrid w:val="0"/>
              <w:spacing w:line="30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或端口骚扰电压（连续骚扰）</w:t>
            </w:r>
          </w:p>
        </w:tc>
        <w:tc>
          <w:tcPr>
            <w:tcW w:w="2835" w:type="dxa"/>
            <w:vMerge w:val="restart"/>
            <w:vAlign w:val="center"/>
          </w:tcPr>
          <w:p w14:paraId="38A74CBD">
            <w:pPr>
              <w:jc w:val="center"/>
              <w:rPr>
                <w:rFonts w:hint="default" w:ascii="Times New Roman" w:hAnsi="Times New Roman" w:cs="Times New Roman"/>
                <w:sz w:val="22"/>
                <w:szCs w:val="22"/>
              </w:rPr>
            </w:pPr>
            <w:r>
              <w:rPr>
                <w:rFonts w:hint="default" w:ascii="Times New Roman" w:hAnsi="Times New Roman" w:cs="Times New Roman"/>
                <w:sz w:val="22"/>
                <w:szCs w:val="22"/>
              </w:rPr>
              <w:t>GB 4343.1—2018</w:t>
            </w:r>
          </w:p>
          <w:p w14:paraId="0D1B9386">
            <w:pPr>
              <w:jc w:val="center"/>
              <w:rPr>
                <w:rFonts w:hint="default" w:ascii="Times New Roman" w:hAnsi="Times New Roman" w:cs="Times New Roman"/>
                <w:sz w:val="22"/>
                <w:szCs w:val="22"/>
              </w:rPr>
            </w:pPr>
            <w:r>
              <w:rPr>
                <w:rFonts w:hint="default" w:ascii="Times New Roman" w:hAnsi="Times New Roman" w:cs="Times New Roman"/>
                <w:sz w:val="22"/>
                <w:szCs w:val="22"/>
              </w:rPr>
              <w:t>GB 4343.1—2024</w:t>
            </w:r>
          </w:p>
        </w:tc>
        <w:tc>
          <w:tcPr>
            <w:tcW w:w="2835" w:type="dxa"/>
            <w:vMerge w:val="restart"/>
            <w:vAlign w:val="center"/>
          </w:tcPr>
          <w:p w14:paraId="542513CE">
            <w:pPr>
              <w:jc w:val="center"/>
              <w:rPr>
                <w:rFonts w:hint="default" w:ascii="Times New Roman" w:hAnsi="Times New Roman" w:cs="Times New Roman"/>
                <w:sz w:val="22"/>
                <w:szCs w:val="22"/>
              </w:rPr>
            </w:pPr>
            <w:r>
              <w:rPr>
                <w:rFonts w:hint="default" w:ascii="Times New Roman" w:hAnsi="Times New Roman" w:cs="Times New Roman"/>
                <w:sz w:val="22"/>
                <w:szCs w:val="22"/>
              </w:rPr>
              <w:t>GB 4343.1—2018</w:t>
            </w:r>
          </w:p>
          <w:p w14:paraId="2D2C791C">
            <w:pPr>
              <w:jc w:val="center"/>
              <w:rPr>
                <w:rFonts w:hint="default" w:ascii="Times New Roman" w:hAnsi="Times New Roman" w:cs="Times New Roman"/>
                <w:sz w:val="22"/>
                <w:szCs w:val="22"/>
              </w:rPr>
            </w:pPr>
            <w:r>
              <w:rPr>
                <w:rFonts w:hint="default" w:ascii="Times New Roman" w:hAnsi="Times New Roman" w:cs="Times New Roman"/>
                <w:sz w:val="22"/>
                <w:szCs w:val="22"/>
              </w:rPr>
              <w:t>GB 4343.1—2024</w:t>
            </w:r>
          </w:p>
        </w:tc>
      </w:tr>
      <w:tr w14:paraId="04694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2FCE4CA2">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13</w:t>
            </w:r>
          </w:p>
        </w:tc>
        <w:tc>
          <w:tcPr>
            <w:tcW w:w="2381" w:type="dxa"/>
            <w:vAlign w:val="center"/>
          </w:tcPr>
          <w:p w14:paraId="2F278618">
            <w:pPr>
              <w:snapToGrid w:val="0"/>
              <w:spacing w:line="30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骚扰功率、辐射骚扰</w:t>
            </w:r>
          </w:p>
          <w:p w14:paraId="42D32139">
            <w:pPr>
              <w:snapToGrid w:val="0"/>
              <w:spacing w:line="30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或骚扰功率、辐射骚扰（电场）</w:t>
            </w:r>
          </w:p>
        </w:tc>
        <w:tc>
          <w:tcPr>
            <w:tcW w:w="2835" w:type="dxa"/>
            <w:vMerge w:val="continue"/>
            <w:vAlign w:val="center"/>
          </w:tcPr>
          <w:p w14:paraId="7FFB2B2B">
            <w:pPr>
              <w:jc w:val="center"/>
              <w:rPr>
                <w:rFonts w:hint="default" w:ascii="Times New Roman" w:hAnsi="Times New Roman" w:eastAsia="宋体" w:cs="Times New Roman"/>
                <w:sz w:val="22"/>
                <w:szCs w:val="28"/>
              </w:rPr>
            </w:pPr>
          </w:p>
        </w:tc>
        <w:tc>
          <w:tcPr>
            <w:tcW w:w="2835" w:type="dxa"/>
            <w:vMerge w:val="continue"/>
            <w:vAlign w:val="center"/>
          </w:tcPr>
          <w:p w14:paraId="0898377A">
            <w:pPr>
              <w:jc w:val="center"/>
              <w:rPr>
                <w:rFonts w:hint="default" w:ascii="Times New Roman" w:hAnsi="Times New Roman" w:eastAsia="宋体" w:cs="Times New Roman"/>
                <w:sz w:val="22"/>
                <w:szCs w:val="28"/>
              </w:rPr>
            </w:pPr>
          </w:p>
        </w:tc>
      </w:tr>
    </w:tbl>
    <w:p w14:paraId="6E318E0C">
      <w:pPr>
        <w:spacing w:line="240" w:lineRule="auto"/>
        <w:ind w:firstLine="440" w:firstLineChars="200"/>
        <w:rPr>
          <w:rFonts w:hint="eastAsia" w:ascii="Times New Roman" w:hAnsi="Times New Roman" w:eastAsia="宋体" w:cs="宋体"/>
          <w:sz w:val="22"/>
          <w:szCs w:val="28"/>
        </w:rPr>
      </w:pPr>
    </w:p>
    <w:p w14:paraId="788C0509">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执行企业标准、团体标准、地方标准的产品，检验项目参照上述内容执行。</w:t>
      </w:r>
    </w:p>
    <w:p w14:paraId="604EEEB0">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凡是注日期的文件，其随后所有的修改单（不包括勘误的内容）或修订版不适用于本细则。凡是不注日期的文件，其最新版本适用于本细则。</w:t>
      </w:r>
    </w:p>
    <w:p w14:paraId="65AE3B59">
      <w:pPr>
        <w:spacing w:line="240" w:lineRule="auto"/>
        <w:ind w:firstLine="440" w:firstLineChars="200"/>
        <w:rPr>
          <w:rFonts w:ascii="Times New Roman" w:hAnsi="Times New Roman" w:eastAsia="宋体" w:cs="宋体"/>
          <w:sz w:val="22"/>
          <w:szCs w:val="28"/>
        </w:rPr>
      </w:pPr>
    </w:p>
    <w:p w14:paraId="69947709">
      <w:pPr>
        <w:spacing w:line="520" w:lineRule="exact"/>
        <w:rPr>
          <w:rFonts w:ascii="Times New Roman" w:hAnsi="Times New Roman" w:eastAsia="宋体" w:cs="宋体"/>
          <w:sz w:val="22"/>
          <w:szCs w:val="28"/>
        </w:rPr>
      </w:pPr>
      <w:r>
        <w:rPr>
          <w:rFonts w:hint="eastAsia" w:ascii="Times New Roman" w:hAnsi="Times New Roman" w:eastAsia="黑体" w:cs="黑体"/>
          <w:sz w:val="22"/>
          <w:szCs w:val="28"/>
        </w:rPr>
        <w:t>3 判定规则</w:t>
      </w:r>
    </w:p>
    <w:p w14:paraId="063B683D">
      <w:pPr>
        <w:spacing w:line="520" w:lineRule="exact"/>
        <w:rPr>
          <w:rFonts w:hint="default" w:ascii="Times New Roman" w:hAnsi="Times New Roman" w:eastAsia="宋体" w:cs="Times New Roman"/>
          <w:sz w:val="22"/>
          <w:szCs w:val="28"/>
        </w:rPr>
      </w:pPr>
      <w:r>
        <w:rPr>
          <w:rFonts w:hint="default" w:ascii="Times New Roman" w:hAnsi="Times New Roman" w:eastAsia="宋体" w:cs="Times New Roman"/>
          <w:sz w:val="22"/>
          <w:szCs w:val="28"/>
        </w:rPr>
        <w:t>3.1 依据标准</w:t>
      </w:r>
    </w:p>
    <w:p w14:paraId="5C0B5CF3">
      <w:pPr>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GB 4343.1—2018 家用电器、电动工具和类似器具的电磁兼容要求  第1部分：发射</w:t>
      </w:r>
    </w:p>
    <w:p w14:paraId="37567922">
      <w:pPr>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GB 4343.1—2024 家用电器、电动工具和类似器具的电磁兼容要求  第1部分：发射</w:t>
      </w:r>
    </w:p>
    <w:p w14:paraId="2E7CFFCF">
      <w:pPr>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GB 4706.1—2005 家用和类似用途电器的安全  第1部分：通用要求</w:t>
      </w:r>
    </w:p>
    <w:p w14:paraId="2BA6B188">
      <w:pPr>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GB 4706.13—2014 家用和类似用途电器的安全  制冷器具、冰淇淋机和制冰机的特殊要求</w:t>
      </w:r>
    </w:p>
    <w:p w14:paraId="42865FEC">
      <w:pPr>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 xml:space="preserve">GB 12021.2—2015 家用电冰箱耗电量限定值及能效等级 </w:t>
      </w:r>
    </w:p>
    <w:p w14:paraId="1E3AFAE9">
      <w:pPr>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GB 12021.2—2025 家用电冰箱耗电量限定值及能效等级</w:t>
      </w:r>
    </w:p>
    <w:p w14:paraId="3A9756A6">
      <w:pPr>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GB 19606—2004 家用和类似用途电器噪声限值</w:t>
      </w:r>
    </w:p>
    <w:p w14:paraId="25E37629">
      <w:pPr>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GB 44246—2024 家用和类似用途电器、体育用品的电气部分及电玩具  安全技术规范</w:t>
      </w:r>
    </w:p>
    <w:p w14:paraId="540DA1D5">
      <w:pPr>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GB 44498—2024 家用和类似用途电器  健康技术规范</w:t>
      </w:r>
    </w:p>
    <w:p w14:paraId="49033D3D">
      <w:pPr>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GB/T 4706.1—2024 家用和</w:t>
      </w:r>
      <w:bookmarkStart w:id="1" w:name="_GoBack"/>
      <w:bookmarkEnd w:id="1"/>
      <w:r>
        <w:rPr>
          <w:rFonts w:hint="default" w:ascii="Times New Roman" w:hAnsi="Times New Roman" w:cs="Times New Roman"/>
          <w:color w:val="000000"/>
          <w:szCs w:val="21"/>
        </w:rPr>
        <w:t>类似用途电器的安全  第1部分：通用要求</w:t>
      </w:r>
    </w:p>
    <w:p w14:paraId="6FEADE71">
      <w:pPr>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GB/T 4706.13—2024 家用和类似用途电器的安全  第13部分：制冷器具、冰淇淋机和制冰机的特殊要求</w:t>
      </w:r>
    </w:p>
    <w:p w14:paraId="29FAE584">
      <w:pPr>
        <w:snapToGrid w:val="0"/>
        <w:spacing w:line="440" w:lineRule="exact"/>
        <w:ind w:firstLine="420" w:firstLineChars="200"/>
        <w:rPr>
          <w:rFonts w:hint="default" w:ascii="Times New Roman" w:hAnsi="Times New Roman" w:cs="Times New Roman"/>
          <w:color w:val="000000"/>
          <w:szCs w:val="21"/>
        </w:rPr>
      </w:pPr>
      <w:bookmarkStart w:id="0" w:name="_Hlk193958028"/>
      <w:r>
        <w:rPr>
          <w:rFonts w:hint="default" w:ascii="Times New Roman" w:hAnsi="Times New Roman" w:cs="Times New Roman"/>
          <w:color w:val="000000"/>
          <w:szCs w:val="21"/>
        </w:rPr>
        <w:t>GB/T 19606—2024 家用和类似用途电器噪声限值</w:t>
      </w:r>
      <w:bookmarkEnd w:id="0"/>
    </w:p>
    <w:p w14:paraId="4DEE91D4">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现行有效的企业标准、团体标准、地方标准及产品明示质量要求</w:t>
      </w:r>
    </w:p>
    <w:p w14:paraId="237A243A">
      <w:pPr>
        <w:spacing w:line="520" w:lineRule="exact"/>
        <w:rPr>
          <w:rFonts w:ascii="Times New Roman" w:hAnsi="Times New Roman" w:eastAsia="宋体" w:cs="宋体"/>
          <w:sz w:val="22"/>
          <w:szCs w:val="28"/>
        </w:rPr>
      </w:pPr>
      <w:r>
        <w:rPr>
          <w:rFonts w:hint="eastAsia" w:ascii="Times New Roman" w:hAnsi="Times New Roman" w:eastAsia="宋体" w:cs="宋体"/>
          <w:sz w:val="22"/>
          <w:szCs w:val="28"/>
        </w:rPr>
        <w:t>3.2 判定原则</w:t>
      </w:r>
    </w:p>
    <w:p w14:paraId="614D66EF">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经检验，检验项目全部合格，判定为被抽查产品所检项目未发现不合格；检验项目中任一项或一项以上不合格，判定为被抽查产品不合格。</w:t>
      </w:r>
    </w:p>
    <w:p w14:paraId="0532C7DC">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若被检产品明示的质量要求高于本细则中检验项目依据的标准要求时，应按被检产品明示的质量要求判定。</w:t>
      </w:r>
    </w:p>
    <w:p w14:paraId="04775D10">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若被检产品明示的质量要求低于本细则中检验项目依据的强制性标准要求时，应按照强制性标准要求判定。</w:t>
      </w:r>
    </w:p>
    <w:p w14:paraId="78C1E5D2">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若被检产品明示的质量要求低于或包含本细则中检验项目依据的推荐性标准要求时，应以被检产品明示的质量要求判定。</w:t>
      </w:r>
    </w:p>
    <w:p w14:paraId="413FAED6">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若被检产品明示的质量要求缺少本细则中检验项目依据的强制性标准要求时，应按照强制性标准要求判定。</w:t>
      </w:r>
    </w:p>
    <w:p w14:paraId="5095989B">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若被检产品明示的质量要求缺少本细则中检验项目依据的推荐性标准要求时，该项目不参与判定。</w:t>
      </w:r>
    </w:p>
    <w:p w14:paraId="545F5E74">
      <w:pPr>
        <w:spacing w:line="520" w:lineRule="exact"/>
        <w:ind w:firstLine="440" w:firstLineChars="200"/>
        <w:rPr>
          <w:rFonts w:ascii="Times New Roman" w:hAnsi="Times New Roman" w:eastAsia="宋体" w:cs="宋体"/>
          <w:sz w:val="22"/>
          <w:szCs w:val="28"/>
        </w:rPr>
      </w:pPr>
    </w:p>
    <w:p w14:paraId="6AD13970">
      <w:pPr>
        <w:spacing w:line="520" w:lineRule="exact"/>
        <w:rPr>
          <w:rFonts w:ascii="Times New Roman" w:hAnsi="Times New Roman" w:eastAsia="宋体" w:cs="宋体"/>
          <w:sz w:val="22"/>
          <w:szCs w:val="28"/>
        </w:rPr>
      </w:pPr>
    </w:p>
    <w:sectPr>
      <w:footerReference r:id="rId3" w:type="default"/>
      <w:pgSz w:w="11906" w:h="16838"/>
      <w:pgMar w:top="2098" w:right="1474" w:bottom="1984" w:left="158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方正仿宋简体">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C43286">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10A0B5">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0C10A0B5">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628"/>
    <w:rsid w:val="001E694A"/>
    <w:rsid w:val="004807B5"/>
    <w:rsid w:val="005F73AC"/>
    <w:rsid w:val="006D5C07"/>
    <w:rsid w:val="00732EE4"/>
    <w:rsid w:val="00795628"/>
    <w:rsid w:val="009326DE"/>
    <w:rsid w:val="00A9325F"/>
    <w:rsid w:val="00CE202C"/>
    <w:rsid w:val="00E75942"/>
    <w:rsid w:val="00ED5F9B"/>
    <w:rsid w:val="00F15C89"/>
    <w:rsid w:val="02551A35"/>
    <w:rsid w:val="036455F8"/>
    <w:rsid w:val="06E03F13"/>
    <w:rsid w:val="070E6657"/>
    <w:rsid w:val="0CD143AE"/>
    <w:rsid w:val="0D343503"/>
    <w:rsid w:val="13144FF5"/>
    <w:rsid w:val="149E7B87"/>
    <w:rsid w:val="156C55BC"/>
    <w:rsid w:val="1E7B23CC"/>
    <w:rsid w:val="222A1341"/>
    <w:rsid w:val="29B570DA"/>
    <w:rsid w:val="2B4863B8"/>
    <w:rsid w:val="2B830B12"/>
    <w:rsid w:val="2E5977D4"/>
    <w:rsid w:val="2E8C4181"/>
    <w:rsid w:val="2ED81174"/>
    <w:rsid w:val="349D6D89"/>
    <w:rsid w:val="38A81BB8"/>
    <w:rsid w:val="408E5B37"/>
    <w:rsid w:val="42C54070"/>
    <w:rsid w:val="43081BD1"/>
    <w:rsid w:val="439E0D9F"/>
    <w:rsid w:val="46050649"/>
    <w:rsid w:val="46F26E20"/>
    <w:rsid w:val="470C0994"/>
    <w:rsid w:val="48797678"/>
    <w:rsid w:val="4C6D02BD"/>
    <w:rsid w:val="4E227B86"/>
    <w:rsid w:val="4E3A2F69"/>
    <w:rsid w:val="523C53F3"/>
    <w:rsid w:val="534D3EB1"/>
    <w:rsid w:val="58705DF6"/>
    <w:rsid w:val="592E4311"/>
    <w:rsid w:val="649B4036"/>
    <w:rsid w:val="68932257"/>
    <w:rsid w:val="6E79418D"/>
    <w:rsid w:val="6FD607DD"/>
    <w:rsid w:val="6FF46EB5"/>
    <w:rsid w:val="71BA4C42"/>
    <w:rsid w:val="737C0D9D"/>
    <w:rsid w:val="73C038EC"/>
    <w:rsid w:val="74422159"/>
    <w:rsid w:val="77062301"/>
    <w:rsid w:val="7947444E"/>
    <w:rsid w:val="799A287B"/>
    <w:rsid w:val="7C093CE8"/>
    <w:rsid w:val="7F8873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5">
    <w:name w:val="Table Grid"/>
    <w:basedOn w:val="4"/>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1030</Words>
  <Characters>1412</Characters>
  <Lines>11</Lines>
  <Paragraphs>3</Paragraphs>
  <TotalTime>24</TotalTime>
  <ScaleCrop>false</ScaleCrop>
  <LinksUpToDate>false</LinksUpToDate>
  <CharactersWithSpaces>1478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2025-10-22T02:01:00Z</dcterms:created>
  <dc:creator>JinweiJia</dc:creator>
  <cp:lastModifiedBy>zw</cp:lastModifiedBy>
  <dcterms:modified xsi:type="dcterms:W3CDTF">2026-07-12T12:34:39Z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C336EAD028594184B1FA2393962C023C_13</vt:lpwstr>
  </property>
  <property fmtid="{D5CDD505-2E9C-101B-9397-08002B2CF9AE}" pid="4" name="KSOTemplateDocerSaveRecord">
    <vt:lpwstr>eyJoZGlkIjoiZDdmYmE0NjNkNzRmOTc2OGYxZTMxMDQ1N2Q4ODI1OTkiLCJ1c2VySWQiOiIxMTI2NTcyODI0In0=</vt:lpwstr>
  </property>
</Properties>
</file>